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427" w:tblpY="-42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3-20</w:t>
            </w:r>
            <w:r>
              <w:rPr>
                <w:rFonts w:hint="eastAsia"/>
                <w:bCs/>
                <w:szCs w:val="21"/>
              </w:rPr>
              <w:t>个工作日</w:t>
            </w:r>
            <w:r>
              <w:rPr>
                <w:rFonts w:hint="eastAsia"/>
                <w:bCs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泡沫垫衬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tabs>
          <w:tab w:val="right" w:pos="9298"/>
        </w:tabs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ab/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/>
    <w:p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5</w:t>
      </w:r>
    </w:p>
    <w:p>
      <w:pPr>
        <w:widowControl/>
        <w:tabs>
          <w:tab w:val="left" w:pos="780"/>
        </w:tabs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1966"/>
        <w:gridCol w:w="795"/>
        <w:gridCol w:w="750"/>
        <w:gridCol w:w="1260"/>
        <w:gridCol w:w="154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产品名称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型 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 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数 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出厂价（元）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优惠单价（元）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药品稳定性试验箱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(低湿）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Labonce-320LCSD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药品稳定性试验箱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(低湿）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Labonce-520LCSD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520" w:firstLineChars="1200"/>
              <w:jc w:val="both"/>
              <w:rPr>
                <w:rFonts w:hint="eastAsia" w:ascii="黑体" w:hAnsi="宋体" w:eastAsia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W w:w="94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8514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名称</w:t>
            </w:r>
          </w:p>
        </w:tc>
        <w:tc>
          <w:tcPr>
            <w:tcW w:w="8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52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3" w:hRule="atLeast"/>
        </w:trPr>
        <w:tc>
          <w:tcPr>
            <w:tcW w:w="4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药品稳定性试验箱</w:t>
            </w:r>
          </w:p>
        </w:tc>
        <w:tc>
          <w:tcPr>
            <w:tcW w:w="85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   320L~520L；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    15～65℃,控温波动:±0.5℃,温度偏差: 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控湿范围:     10～95%RH,控湿波动:±3.0%RH,湿度偏差: ±3.0%RH；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光照范围：   光 照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范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围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： 100 ～ 8000LUX ；照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度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偏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差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： 4500±500LUX；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光照记录：   配照度传感器，照度直接显示，配照度存储和打印系统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温湿控制器:  原装进口数显表控制器，感应灵敏，系统误差小；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湿度传感器:  原装进口电容式湿度传感器,直接检测,无需维护；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  两套原装进口全封闭压缩机，长寿命,低噪音；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  具备符合GMP要求的数据采集系统，标配针式打印机；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  U盘存储，能存储一年以上温度湿度值；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现场温湿度偏差声光报警,独立超温报警；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 配置双保险防干烧保护系统；配置独立超温保护系统,可自动切断电源；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压缩机过热保护、压缩机超压保护、压缩机过载保护和风机过热保护。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   ＋5～35℃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     AC 220V±10%  50HZ；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远程报警:   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可选配远程手机短信报警(带温湿度偏差报警、断电报警)；</w:t>
            </w:r>
          </w:p>
        </w:tc>
        <w:tc>
          <w:tcPr>
            <w:tcW w:w="52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0" w:rightFromText="180" w:vertAnchor="text" w:horzAnchor="page" w:tblpX="1174" w:tblpY="562"/>
        <w:tblOverlap w:val="never"/>
        <w:tblW w:w="10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337"/>
        <w:gridCol w:w="2011"/>
        <w:gridCol w:w="232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药品稳定性试验箱（两箱）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3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320LCSD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LCSD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箱体标号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控湿范围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10～95%RH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10～95%RH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10～95%RH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湿度偏差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可见光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范围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变频可调，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光照试验的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总照度不低于</w:t>
            </w:r>
            <w:r>
              <w:rPr>
                <w:rFonts w:ascii="宋体" w:hAnsi="宋体"/>
                <w:color w:val="000000"/>
                <w:szCs w:val="21"/>
              </w:rPr>
              <w:t>1.2×10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Lux·hr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变频可调，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光照试验的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总照度不低于</w:t>
            </w:r>
            <w:r>
              <w:rPr>
                <w:rFonts w:ascii="宋体" w:hAnsi="宋体"/>
                <w:color w:val="000000"/>
                <w:szCs w:val="21"/>
              </w:rPr>
              <w:t>1.2×10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Lux·hr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种类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可见光独立变频控制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可见光独立变频控制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56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光照记录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照度打印和存储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照度打印和存储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温湿控制方式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（两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kern w:val="0"/>
                <w:szCs w:val="21"/>
              </w:rPr>
              <w:t>DANFOSS-SECOP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节能环保型，低噪音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湿度传感器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原装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进口电容式湿度传感器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高精度，长寿命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进口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数显表温湿度控制器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两套ST590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19" w:firstLineChars="122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数据打印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Cs w:val="21"/>
              </w:rPr>
              <w:t>针式微型打印机（记录的数据可长期保存,记录频率可调）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白纸打印，非热敏，打印的间隔时间可以调整，比如1小时，2小时，最小的是2分钟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两套U盘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存储,能保存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年以上的电子文本数据,可参看全程曲线图谱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25℃ 60%RH,40℃ 75%RH（也可以设置其它点）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56" w:firstLineChars="12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偏差报警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可选配手机短信报警（需方自备移动手机卡一张，长期插在设备里）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水箱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电源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43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容积 (L)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内部尺寸(mm)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480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410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760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480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410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760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外形尺寸(mm)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3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1320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1560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1560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箱体结构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左箱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右箱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左箱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右箱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备注1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备注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如试验中需要光照试验，可加配光照功能，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两个箱体单独控制，相当于两台试验箱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+Fyu1QAAAAgBAAAPAAAAAAAAAAEAIAAAACIAAABkcnMvZG93bnJldi54&#10;bWxQSwECFAAUAAAACACHTuJAJyaY6/0BAADuAwAADgAAAAAAAAABACAAAAAkAQAAZHJzL2Uyb0Rv&#10;Yy54bWxQSwUGAAAAAAYABgBZAQAAk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80804-10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Kz98tcAAAAKAQAADwAAAAAAAAABACAAAAAiAAAAZHJzL2Rvd25yZXYueG1sUEsBAhQAFAAAAAgA&#10;h07iQPZ5K7u0AQAAVwMAAA4AAAAAAAAAAQAgAAAAJgEAAGRycy9lMm9Eb2MueG1sUEsFBgAAAAAG&#10;AAYAWQEAAEw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80804-10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2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32FF2"/>
    <w:rsid w:val="01604BE5"/>
    <w:rsid w:val="110504BE"/>
    <w:rsid w:val="268658B5"/>
    <w:rsid w:val="306C7BF3"/>
    <w:rsid w:val="3BD76F34"/>
    <w:rsid w:val="3F0626A3"/>
    <w:rsid w:val="48BE0C7B"/>
    <w:rsid w:val="4BE62C87"/>
    <w:rsid w:val="52423552"/>
    <w:rsid w:val="5FD3658C"/>
    <w:rsid w:val="64A77ABD"/>
    <w:rsid w:val="68E32FF2"/>
    <w:rsid w:val="6D535020"/>
    <w:rsid w:val="6EA84940"/>
    <w:rsid w:val="6F4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style231"/>
    <w:basedOn w:val="7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7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2018-08-04T03:45:00Z</dcterms:created>
  <dc:creator>兰贝石WKH</dc:creator>
  <cp:lastModifiedBy>Administrator</cp:lastModifiedBy>
  <dcterms:modified xsi:type="dcterms:W3CDTF">2021-01-22T09:02:51Z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